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C8798" w14:textId="5C48F9F5" w:rsidR="00FD6AA1" w:rsidRDefault="00FD6AA1" w:rsidP="00E91A8A">
      <w:pPr>
        <w:jc w:val="center"/>
      </w:pPr>
      <w:r w:rsidRPr="00E91A8A">
        <w:rPr>
          <w:b/>
          <w:bCs/>
        </w:rPr>
        <w:t>ULOTKA</w:t>
      </w:r>
    </w:p>
    <w:p w14:paraId="7BC56646" w14:textId="38257F97" w:rsidR="00FD6AA1" w:rsidRPr="00E91A8A" w:rsidRDefault="00FD6AA1" w:rsidP="00E91A8A">
      <w:pPr>
        <w:jc w:val="center"/>
        <w:rPr>
          <w:b/>
          <w:bCs/>
        </w:rPr>
      </w:pPr>
      <w:r w:rsidRPr="00E91A8A">
        <w:rPr>
          <w:b/>
          <w:bCs/>
        </w:rPr>
        <w:t xml:space="preserve">ATOXIL® GEL </w:t>
      </w:r>
      <w:proofErr w:type="spellStart"/>
      <w:r w:rsidRPr="00E91A8A">
        <w:rPr>
          <w:b/>
          <w:bCs/>
        </w:rPr>
        <w:t>preBIO</w:t>
      </w:r>
      <w:proofErr w:type="spellEnd"/>
    </w:p>
    <w:p w14:paraId="5EF181D1" w14:textId="77777777" w:rsidR="00FD6AA1" w:rsidRDefault="00FD6AA1" w:rsidP="00FD6AA1">
      <w:r>
        <w:t>Suplement diety</w:t>
      </w:r>
    </w:p>
    <w:p w14:paraId="720E0876" w14:textId="77777777" w:rsidR="00FD6AA1" w:rsidRDefault="00FD6AA1" w:rsidP="00FD6AA1">
      <w:r>
        <w:t>Zawiera substancję słodzącą</w:t>
      </w:r>
    </w:p>
    <w:p w14:paraId="1F679965" w14:textId="77777777" w:rsidR="00FD6AA1" w:rsidRDefault="00FD6AA1" w:rsidP="00FD6AA1">
      <w:r>
        <w:t>Żel do stosowania doustnego w saszetkach</w:t>
      </w:r>
    </w:p>
    <w:p w14:paraId="64747B5A" w14:textId="77777777" w:rsidR="00FD6AA1" w:rsidRDefault="00FD6AA1" w:rsidP="00FD6AA1">
      <w:r>
        <w:t>O smaku truskawkowym</w:t>
      </w:r>
    </w:p>
    <w:p w14:paraId="63AD065B" w14:textId="77777777" w:rsidR="00FD6AA1" w:rsidRDefault="00FD6AA1" w:rsidP="00FD6AA1">
      <w:r w:rsidRPr="00E91A8A">
        <w:rPr>
          <w:b/>
          <w:bCs/>
        </w:rPr>
        <w:t>Skład:</w:t>
      </w:r>
      <w:r>
        <w:t xml:space="preserve"> kwas krzemowy w żelu; woda oczyszczona; </w:t>
      </w:r>
      <w:proofErr w:type="spellStart"/>
      <w:r>
        <w:t>arabinogalaktan</w:t>
      </w:r>
      <w:proofErr w:type="spellEnd"/>
      <w:r>
        <w:t xml:space="preserve">, substancja żelująca: sól sodowa </w:t>
      </w:r>
      <w:proofErr w:type="spellStart"/>
      <w:r>
        <w:t>karboksymetylocelulozy</w:t>
      </w:r>
      <w:proofErr w:type="spellEnd"/>
      <w:r>
        <w:t xml:space="preserve">; konserwant: </w:t>
      </w:r>
      <w:proofErr w:type="spellStart"/>
      <w:r>
        <w:t>sorbinian</w:t>
      </w:r>
      <w:proofErr w:type="spellEnd"/>
      <w:r>
        <w:t xml:space="preserve"> potasu; regulator kwasowości: kwas cytrynowy; aromat truskawkowy (0,04%); substancja słodząca: </w:t>
      </w:r>
      <w:proofErr w:type="spellStart"/>
      <w:r>
        <w:t>sukraloza</w:t>
      </w:r>
      <w:proofErr w:type="spellEnd"/>
      <w:r>
        <w:t>.</w:t>
      </w:r>
    </w:p>
    <w:p w14:paraId="7FD9C904" w14:textId="77777777" w:rsidR="00FD6AA1" w:rsidRDefault="00FD6AA1" w:rsidP="00FD6AA1">
      <w:r w:rsidRPr="00E91A8A">
        <w:rPr>
          <w:b/>
          <w:bCs/>
        </w:rPr>
        <w:t>Sposób stosowania</w:t>
      </w:r>
      <w:r>
        <w:t>: stosować na godzinę przed lub godzinę po posiłku i przyjęciu leków. Przed użyciem żel należy wymieszać, ugniatając saszetkę. Zawartość saszetki wycisnąć na łyżkę lub bezpośrednio do ust. Popić szklanką wody.</w:t>
      </w:r>
    </w:p>
    <w:p w14:paraId="6101973C" w14:textId="14E8A458" w:rsidR="00FD6AA1" w:rsidRDefault="00FD6AA1" w:rsidP="00FD6AA1">
      <w:r w:rsidRPr="00E91A8A">
        <w:rPr>
          <w:b/>
          <w:bCs/>
        </w:rPr>
        <w:t>Zalecana dzienna dawka</w:t>
      </w:r>
      <w:r>
        <w:t xml:space="preserve">: dorośli i dzieci powyżej 12 lat – </w:t>
      </w:r>
      <w:r w:rsidR="001B3A12">
        <w:t>3</w:t>
      </w:r>
      <w:r>
        <w:t xml:space="preserve"> saszetk</w:t>
      </w:r>
      <w:r w:rsidR="001B3A12">
        <w:t>i</w:t>
      </w:r>
      <w:r>
        <w:t xml:space="preserve"> (20 g)</w:t>
      </w:r>
      <w:r w:rsidR="001B3A12">
        <w:t xml:space="preserve"> 3 x dziennie</w:t>
      </w:r>
      <w:r>
        <w:t>.</w:t>
      </w:r>
    </w:p>
    <w:p w14:paraId="727DA5CB" w14:textId="1451393A" w:rsidR="00E36908" w:rsidRPr="00E91A8A" w:rsidRDefault="00E36908" w:rsidP="00FD6AA1">
      <w:pPr>
        <w:rPr>
          <w:b/>
          <w:bCs/>
        </w:rPr>
      </w:pPr>
      <w:r w:rsidRPr="00E91A8A">
        <w:rPr>
          <w:b/>
          <w:bCs/>
        </w:rPr>
        <w:t>Skład zalecanej dziennej porcji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2552"/>
      </w:tblGrid>
      <w:tr w:rsidR="00D25174" w:rsidRPr="00D25174" w14:paraId="7E5F0691" w14:textId="77777777" w:rsidTr="00D25174">
        <w:trPr>
          <w:tblHeader/>
          <w:tblCellSpacing w:w="15" w:type="dxa"/>
        </w:trPr>
        <w:tc>
          <w:tcPr>
            <w:tcW w:w="3919" w:type="dxa"/>
            <w:vAlign w:val="center"/>
            <w:hideMark/>
          </w:tcPr>
          <w:p w14:paraId="4ED408D4" w14:textId="77777777" w:rsidR="00D25174" w:rsidRPr="00D25174" w:rsidRDefault="00D25174" w:rsidP="00D25174">
            <w:pPr>
              <w:jc w:val="center"/>
              <w:rPr>
                <w:b/>
                <w:bCs/>
              </w:rPr>
            </w:pPr>
            <w:r w:rsidRPr="00D25174">
              <w:rPr>
                <w:b/>
                <w:bCs/>
              </w:rPr>
              <w:t>Składnik</w:t>
            </w:r>
          </w:p>
        </w:tc>
        <w:tc>
          <w:tcPr>
            <w:tcW w:w="2507" w:type="dxa"/>
            <w:vAlign w:val="center"/>
            <w:hideMark/>
          </w:tcPr>
          <w:p w14:paraId="37637A7E" w14:textId="77777777" w:rsidR="00D25174" w:rsidRPr="00D25174" w:rsidRDefault="00D25174" w:rsidP="00D25174">
            <w:pPr>
              <w:jc w:val="center"/>
              <w:rPr>
                <w:b/>
                <w:bCs/>
              </w:rPr>
            </w:pPr>
            <w:r w:rsidRPr="00D25174">
              <w:rPr>
                <w:b/>
                <w:bCs/>
              </w:rPr>
              <w:t>3 saszetki (60 g)</w:t>
            </w:r>
          </w:p>
        </w:tc>
      </w:tr>
      <w:tr w:rsidR="00D25174" w:rsidRPr="00D25174" w14:paraId="6F0CB49B" w14:textId="77777777" w:rsidTr="00D25174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1E8BDDDE" w14:textId="77777777" w:rsidR="00D25174" w:rsidRPr="00D25174" w:rsidRDefault="00D25174" w:rsidP="00D25174">
            <w:proofErr w:type="spellStart"/>
            <w:r w:rsidRPr="00D25174">
              <w:t>Arabinogalaktan</w:t>
            </w:r>
            <w:proofErr w:type="spellEnd"/>
          </w:p>
        </w:tc>
        <w:tc>
          <w:tcPr>
            <w:tcW w:w="2507" w:type="dxa"/>
            <w:vAlign w:val="center"/>
            <w:hideMark/>
          </w:tcPr>
          <w:p w14:paraId="76CB446B" w14:textId="77777777" w:rsidR="00D25174" w:rsidRPr="00D25174" w:rsidRDefault="00D25174" w:rsidP="00D25174">
            <w:pPr>
              <w:jc w:val="center"/>
            </w:pPr>
            <w:r w:rsidRPr="00D25174">
              <w:t>1,5 g</w:t>
            </w:r>
          </w:p>
        </w:tc>
      </w:tr>
      <w:tr w:rsidR="00D25174" w:rsidRPr="00D25174" w14:paraId="17AD11B7" w14:textId="77777777" w:rsidTr="00D25174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55798256" w14:textId="77777777" w:rsidR="00D25174" w:rsidRPr="00D25174" w:rsidRDefault="00D25174" w:rsidP="00D25174">
            <w:r w:rsidRPr="00D25174">
              <w:t>Kwas krzemowy w postaci żelu</w:t>
            </w:r>
          </w:p>
        </w:tc>
        <w:tc>
          <w:tcPr>
            <w:tcW w:w="2507" w:type="dxa"/>
            <w:vAlign w:val="center"/>
            <w:hideMark/>
          </w:tcPr>
          <w:p w14:paraId="318A09F7" w14:textId="77777777" w:rsidR="00D25174" w:rsidRPr="00D25174" w:rsidRDefault="00D25174" w:rsidP="00D25174">
            <w:pPr>
              <w:jc w:val="center"/>
            </w:pPr>
            <w:r w:rsidRPr="00D25174">
              <w:t>54 g</w:t>
            </w:r>
          </w:p>
        </w:tc>
      </w:tr>
      <w:tr w:rsidR="00D25174" w:rsidRPr="00D25174" w14:paraId="7FD47AD3" w14:textId="77777777" w:rsidTr="00D25174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658D49CF" w14:textId="77777777" w:rsidR="00D25174" w:rsidRPr="00D25174" w:rsidRDefault="00D25174" w:rsidP="00D25174">
            <w:r w:rsidRPr="00D25174">
              <w:t>w tym dwutlenek krzemu</w:t>
            </w:r>
          </w:p>
        </w:tc>
        <w:tc>
          <w:tcPr>
            <w:tcW w:w="2507" w:type="dxa"/>
            <w:vAlign w:val="center"/>
            <w:hideMark/>
          </w:tcPr>
          <w:p w14:paraId="78556A1B" w14:textId="77777777" w:rsidR="00D25174" w:rsidRPr="00D25174" w:rsidRDefault="00D25174" w:rsidP="00D25174">
            <w:pPr>
              <w:jc w:val="center"/>
            </w:pPr>
            <w:r w:rsidRPr="00D25174">
              <w:t>5,4 g</w:t>
            </w:r>
          </w:p>
        </w:tc>
      </w:tr>
      <w:tr w:rsidR="00D25174" w:rsidRPr="00D25174" w14:paraId="36B86F83" w14:textId="77777777" w:rsidTr="00D25174">
        <w:trPr>
          <w:tblCellSpacing w:w="15" w:type="dxa"/>
        </w:trPr>
        <w:tc>
          <w:tcPr>
            <w:tcW w:w="3919" w:type="dxa"/>
            <w:vAlign w:val="center"/>
            <w:hideMark/>
          </w:tcPr>
          <w:p w14:paraId="1578FBF2" w14:textId="77777777" w:rsidR="00D25174" w:rsidRPr="00D25174" w:rsidRDefault="00D25174" w:rsidP="00D25174">
            <w:r w:rsidRPr="00D25174">
              <w:t>w tym krzem</w:t>
            </w:r>
          </w:p>
        </w:tc>
        <w:tc>
          <w:tcPr>
            <w:tcW w:w="2507" w:type="dxa"/>
            <w:vAlign w:val="center"/>
            <w:hideMark/>
          </w:tcPr>
          <w:p w14:paraId="5D66402A" w14:textId="77777777" w:rsidR="00D25174" w:rsidRPr="00D25174" w:rsidRDefault="00D25174" w:rsidP="00D25174">
            <w:pPr>
              <w:jc w:val="center"/>
            </w:pPr>
            <w:r w:rsidRPr="00D25174">
              <w:t>2,7 g</w:t>
            </w:r>
          </w:p>
        </w:tc>
      </w:tr>
    </w:tbl>
    <w:p w14:paraId="70193515" w14:textId="77777777" w:rsidR="00E91A8A" w:rsidRPr="00E91A8A" w:rsidRDefault="00E91A8A" w:rsidP="00E91A8A">
      <w:r w:rsidRPr="00E91A8A">
        <w:rPr>
          <w:b/>
          <w:bCs/>
        </w:rPr>
        <w:t>W przeliczeniu na dwutlenek krzemu:</w:t>
      </w:r>
    </w:p>
    <w:p w14:paraId="12164EDB" w14:textId="77777777" w:rsidR="00E91A8A" w:rsidRPr="00E91A8A" w:rsidRDefault="00E91A8A" w:rsidP="00E91A8A">
      <w:r w:rsidRPr="00E91A8A">
        <w:t>1 saszetka – 1,8 g</w:t>
      </w:r>
      <w:r w:rsidRPr="00E91A8A">
        <w:br/>
        <w:t>2 saszetki – 3,6 g</w:t>
      </w:r>
      <w:r w:rsidRPr="00E91A8A">
        <w:br/>
        <w:t>3 saszetki – 5,4 g</w:t>
      </w:r>
    </w:p>
    <w:p w14:paraId="3459339B" w14:textId="77777777" w:rsidR="00FD6AA1" w:rsidRDefault="00FD6AA1" w:rsidP="00FD6AA1">
      <w:r w:rsidRPr="00E91A8A">
        <w:rPr>
          <w:b/>
          <w:bCs/>
        </w:rPr>
        <w:t>Ważna informacja</w:t>
      </w:r>
      <w:r>
        <w:t>: nie stosować w przypadku nadwrażliwości na którykolwiek ze składników. Nie przekraczać zalecanej dziennej dawki. Suplement diety nie może być stosowany jako substytut (zamiennik) zróżnicowanej diety. Produkt przeznaczony dla dorosłych i dzieci powyżej 12 roku życia.</w:t>
      </w:r>
    </w:p>
    <w:p w14:paraId="5D1D90CE" w14:textId="77777777" w:rsidR="00FD6AA1" w:rsidRDefault="00FD6AA1" w:rsidP="00FD6AA1">
      <w:r w:rsidRPr="00E91A8A">
        <w:rPr>
          <w:b/>
          <w:bCs/>
        </w:rPr>
        <w:t>Warunki przechowywania:</w:t>
      </w:r>
      <w:r>
        <w:t xml:space="preserve"> przechowywać w oryginalnym opakowaniu, w temperaturze nieprzekraczającej 25°C, w suchym i chronionym przed światłem słonecznym miejscu, niedostępnym dla dzieci.</w:t>
      </w:r>
    </w:p>
    <w:p w14:paraId="52492453" w14:textId="77777777" w:rsidR="00FD6AA1" w:rsidRDefault="00FD6AA1" w:rsidP="00FD6AA1">
      <w:r w:rsidRPr="00E91A8A">
        <w:rPr>
          <w:b/>
          <w:bCs/>
        </w:rPr>
        <w:lastRenderedPageBreak/>
        <w:t>Podmiot odpowiedzialny:</w:t>
      </w:r>
      <w:r>
        <w:t xml:space="preserve"> </w:t>
      </w:r>
      <w:proofErr w:type="spellStart"/>
      <w:r>
        <w:t>Orisil</w:t>
      </w:r>
      <w:proofErr w:type="spellEnd"/>
      <w:r>
        <w:t>-Pharm Poland Sp. z o.o., ul. Hugo Kołłątaja 6/3, 20-006 Lublin, Polska.</w:t>
      </w:r>
    </w:p>
    <w:p w14:paraId="5B0356CC" w14:textId="77777777" w:rsidR="00FD6AA1" w:rsidRDefault="00FD6AA1" w:rsidP="00FD6AA1">
      <w:r>
        <w:t xml:space="preserve"> </w:t>
      </w:r>
    </w:p>
    <w:p w14:paraId="2A25B75D" w14:textId="77777777" w:rsidR="00FD6AA1" w:rsidRDefault="00FD6AA1" w:rsidP="00FD6AA1">
      <w:r w:rsidRPr="00E91A8A">
        <w:rPr>
          <w:b/>
          <w:bCs/>
        </w:rPr>
        <w:t>Producent</w:t>
      </w:r>
      <w:r>
        <w:t xml:space="preserve">: </w:t>
      </w:r>
      <w:proofErr w:type="spellStart"/>
      <w:r>
        <w:t>Orisil</w:t>
      </w:r>
      <w:proofErr w:type="spellEnd"/>
      <w:r>
        <w:t>-Pharm Sp. z o.o., ul. Lesia Ukrainka 43/11A, 79008 Lwów, Ukraina, tel.: +380322970406, e-mail: orisilpharm.feedback@gmail.com.</w:t>
      </w:r>
    </w:p>
    <w:p w14:paraId="03F829CE" w14:textId="77777777" w:rsidR="00FD6AA1" w:rsidRDefault="00FD6AA1" w:rsidP="00FD6AA1">
      <w:r>
        <w:t xml:space="preserve"> </w:t>
      </w:r>
    </w:p>
    <w:p w14:paraId="62686E18" w14:textId="77777777" w:rsidR="00FD6AA1" w:rsidRDefault="00FD6AA1" w:rsidP="00FD6AA1">
      <w:r w:rsidRPr="003A42F3">
        <w:rPr>
          <w:b/>
          <w:bCs/>
        </w:rPr>
        <w:t>Zakład produkcyjny</w:t>
      </w:r>
      <w:r>
        <w:t xml:space="preserve">: ul. </w:t>
      </w:r>
      <w:proofErr w:type="spellStart"/>
      <w:r>
        <w:t>Zavodska</w:t>
      </w:r>
      <w:proofErr w:type="spellEnd"/>
      <w:r>
        <w:t xml:space="preserve"> 1B, 77300 Kałusz, Ukraina.</w:t>
      </w:r>
    </w:p>
    <w:p w14:paraId="5B5479A4" w14:textId="77777777" w:rsidR="00FD6AA1" w:rsidRDefault="00FD6AA1" w:rsidP="00FD6AA1">
      <w:r>
        <w:t>Waga netto: 200 g (10 saszetek po 20 g).</w:t>
      </w:r>
    </w:p>
    <w:p w14:paraId="52CB6A22" w14:textId="77777777" w:rsidR="00FD6AA1" w:rsidRDefault="00FD6AA1" w:rsidP="00FD6AA1">
      <w:r>
        <w:t>Numer partii: na spodzie opakowania.</w:t>
      </w:r>
    </w:p>
    <w:p w14:paraId="60B38738" w14:textId="77777777" w:rsidR="00FD6AA1" w:rsidRDefault="00FD6AA1" w:rsidP="00FD6AA1">
      <w:r>
        <w:t>Najlepiej spożyć przed: na spodzie opakowania.</w:t>
      </w:r>
    </w:p>
    <w:p w14:paraId="1AA6659F" w14:textId="62576C9F" w:rsidR="00F96EEE" w:rsidRPr="00FD6AA1" w:rsidRDefault="00FD6AA1" w:rsidP="00FD6AA1">
      <w:r>
        <w:t>Kod kreskowy: 4820080540748</w:t>
      </w:r>
    </w:p>
    <w:sectPr w:rsidR="00F96EEE" w:rsidRPr="00FD6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A1"/>
    <w:rsid w:val="001B3A12"/>
    <w:rsid w:val="003A42F3"/>
    <w:rsid w:val="00457A5D"/>
    <w:rsid w:val="00B2109F"/>
    <w:rsid w:val="00D25174"/>
    <w:rsid w:val="00D40E14"/>
    <w:rsid w:val="00E36908"/>
    <w:rsid w:val="00E91A8A"/>
    <w:rsid w:val="00F96EEE"/>
    <w:rsid w:val="00FD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71CB8"/>
  <w15:chartTrackingRefBased/>
  <w15:docId w15:val="{D755AD95-31FE-4D88-B366-4F957713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6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6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6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6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6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6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6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6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6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6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6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6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6A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6A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6A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6A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6A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6A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6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6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6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6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6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6A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6A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6A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6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6A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6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Synak</dc:creator>
  <cp:keywords/>
  <dc:description/>
  <cp:lastModifiedBy>Beata Synak</cp:lastModifiedBy>
  <cp:revision>2</cp:revision>
  <dcterms:created xsi:type="dcterms:W3CDTF">2026-08-05T20:06:00Z</dcterms:created>
  <dcterms:modified xsi:type="dcterms:W3CDTF">2026-08-05T20:06:00Z</dcterms:modified>
</cp:coreProperties>
</file>