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1F469" w14:textId="77777777" w:rsidR="00272015" w:rsidRDefault="001E36EA">
      <w:pPr>
        <w:spacing w:before="20" w:after="20" w:line="240" w:lineRule="auto"/>
        <w:jc w:val="center"/>
        <w:rPr>
          <w:rFonts w:ascii="Times New Roman" w:eastAsia="Times New Roman" w:hAnsi="Times New Roman" w:cs="Times New Roman"/>
          <w:b/>
          <w:color w:val="222222"/>
          <w:sz w:val="40"/>
          <w:szCs w:val="40"/>
        </w:rPr>
      </w:pPr>
      <w:r>
        <w:rPr>
          <w:rFonts w:ascii="Times New Roman" w:eastAsia="Times New Roman" w:hAnsi="Times New Roman" w:cs="Times New Roman"/>
          <w:color w:val="222222"/>
          <w:sz w:val="30"/>
          <w:szCs w:val="30"/>
        </w:rPr>
        <w:t xml:space="preserve"> </w:t>
      </w:r>
      <w:r>
        <w:rPr>
          <w:rFonts w:ascii="Times New Roman" w:eastAsia="Times New Roman" w:hAnsi="Times New Roman" w:cs="Times New Roman"/>
          <w:b/>
          <w:color w:val="222222"/>
          <w:sz w:val="34"/>
          <w:szCs w:val="34"/>
        </w:rPr>
        <w:t>ATOXIL</w:t>
      </w:r>
      <w:r>
        <w:rPr>
          <w:b/>
          <w:color w:val="474747"/>
          <w:sz w:val="31"/>
          <w:szCs w:val="31"/>
          <w:highlight w:val="white"/>
        </w:rPr>
        <w:t xml:space="preserve">® </w:t>
      </w:r>
      <w:r>
        <w:rPr>
          <w:rFonts w:ascii="Times New Roman" w:eastAsia="Times New Roman" w:hAnsi="Times New Roman" w:cs="Times New Roman"/>
          <w:b/>
          <w:color w:val="222222"/>
          <w:sz w:val="34"/>
          <w:szCs w:val="34"/>
        </w:rPr>
        <w:t xml:space="preserve"> </w:t>
      </w:r>
      <w:r>
        <w:rPr>
          <w:rFonts w:ascii="Times New Roman" w:eastAsia="Times New Roman" w:hAnsi="Times New Roman" w:cs="Times New Roman"/>
          <w:b/>
          <w:color w:val="222222"/>
          <w:sz w:val="40"/>
          <w:szCs w:val="40"/>
        </w:rPr>
        <w:t>GEL</w:t>
      </w:r>
    </w:p>
    <w:p w14:paraId="48EA0575" w14:textId="77777777" w:rsidR="00272015" w:rsidRDefault="00272015">
      <w:pPr>
        <w:spacing w:before="20" w:after="20" w:line="240" w:lineRule="auto"/>
        <w:jc w:val="center"/>
        <w:rPr>
          <w:rFonts w:ascii="Times New Roman" w:eastAsia="Times New Roman" w:hAnsi="Times New Roman" w:cs="Times New Roman"/>
          <w:b/>
          <w:color w:val="222222"/>
          <w:sz w:val="24"/>
          <w:szCs w:val="24"/>
        </w:rPr>
      </w:pPr>
    </w:p>
    <w:p w14:paraId="54E044E0" w14:textId="77777777" w:rsidR="00272015" w:rsidRDefault="001E36EA">
      <w:pPr>
        <w:widowControl w:val="0"/>
        <w:spacing w:before="20" w:after="2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Suplement diety ze słodzikiem</w:t>
      </w:r>
    </w:p>
    <w:p w14:paraId="3ABF38C4" w14:textId="77777777" w:rsidR="00272015" w:rsidRDefault="001E36EA">
      <w:pPr>
        <w:spacing w:before="20" w:after="20" w:line="240"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Instrukcja użycia suplementu diety</w:t>
      </w:r>
    </w:p>
    <w:p w14:paraId="54F1868D" w14:textId="77777777" w:rsidR="00272015" w:rsidRDefault="00272015">
      <w:pPr>
        <w:spacing w:before="20" w:after="20" w:line="240" w:lineRule="auto"/>
        <w:jc w:val="both"/>
        <w:rPr>
          <w:rFonts w:ascii="Times New Roman" w:eastAsia="Times New Roman" w:hAnsi="Times New Roman" w:cs="Times New Roman"/>
          <w:b/>
          <w:color w:val="222222"/>
          <w:sz w:val="24"/>
          <w:szCs w:val="24"/>
        </w:rPr>
      </w:pPr>
    </w:p>
    <w:p w14:paraId="50C3B6C6" w14:textId="77777777" w:rsidR="00272015" w:rsidRDefault="001E36EA">
      <w:pPr>
        <w:widowControl w:val="0"/>
        <w:spacing w:before="20" w:after="2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Żel doustny, saszetki 20 g. Dostępne opakowania: 10 saszetek w kartonowym pudełku.</w:t>
      </w:r>
    </w:p>
    <w:p w14:paraId="7F47A4D0" w14:textId="77777777" w:rsidR="00272015" w:rsidRDefault="001E36EA">
      <w:pPr>
        <w:spacing w:before="20" w:after="2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Składniki:</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woda oczyszczona, kwas krzemowy, substancja żelująca: (sól sodowa karboksymetylocelulozy, guma celulozowa), substancja konserwująca: ( sorbinian potasu), regulator kwasowości (kwas cytrynowy), substancja słodząca: (sukraloza), aromat bananowy. </w:t>
      </w:r>
    </w:p>
    <w:p w14:paraId="7A8ACC6D" w14:textId="77777777" w:rsidR="00272015" w:rsidRDefault="001E36EA">
      <w:pPr>
        <w:spacing w:before="20" w:after="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Zawiera substancję słodzącą. </w:t>
      </w:r>
    </w:p>
    <w:p w14:paraId="39D15E05" w14:textId="77777777" w:rsidR="00272015" w:rsidRDefault="00272015">
      <w:pPr>
        <w:spacing w:before="20" w:after="20" w:line="240" w:lineRule="auto"/>
        <w:jc w:val="both"/>
        <w:rPr>
          <w:rFonts w:ascii="Times New Roman" w:eastAsia="Times New Roman" w:hAnsi="Times New Roman" w:cs="Times New Roman"/>
          <w:sz w:val="24"/>
          <w:szCs w:val="24"/>
        </w:rPr>
      </w:pPr>
    </w:p>
    <w:p w14:paraId="3010B95D" w14:textId="77777777" w:rsidR="00272015" w:rsidRDefault="001E36EA">
      <w:pPr>
        <w:spacing w:before="20" w:after="2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Instrukcja użycia: </w:t>
      </w:r>
      <w:r>
        <w:rPr>
          <w:rFonts w:ascii="Times New Roman" w:eastAsia="Times New Roman" w:hAnsi="Times New Roman" w:cs="Times New Roman"/>
          <w:sz w:val="24"/>
          <w:szCs w:val="24"/>
        </w:rPr>
        <w:t>Stosować godzinę przed lub godzinę po posiłku lub po przyjęciu leków. Przed spożyciem żel  należy ujednorodnić, ugniatając saszetkę. Zawartość saszetki wycisnąć na łyżkę stołową lub bezpośrednio do jamy ustnej. Popić szklanką  wody.</w:t>
      </w:r>
    </w:p>
    <w:p w14:paraId="07B750F8" w14:textId="36A7C2D3" w:rsidR="00272015" w:rsidRPr="00664A18" w:rsidRDefault="001E36EA" w:rsidP="00664A18">
      <w:pPr>
        <w:spacing w:before="20" w:after="20" w:line="240" w:lineRule="auto"/>
        <w:jc w:val="both"/>
        <w:rPr>
          <w:rFonts w:ascii="Times New Roman" w:eastAsia="Times New Roman" w:hAnsi="Times New Roman" w:cs="Times New Roman"/>
          <w:b/>
          <w:sz w:val="24"/>
          <w:szCs w:val="24"/>
          <w:lang w:val="pl-PL"/>
        </w:rPr>
      </w:pPr>
      <w:r>
        <w:rPr>
          <w:rFonts w:ascii="Times New Roman" w:eastAsia="Times New Roman" w:hAnsi="Times New Roman" w:cs="Times New Roman"/>
          <w:b/>
          <w:sz w:val="24"/>
          <w:szCs w:val="24"/>
        </w:rPr>
        <w:t xml:space="preserve">Porcja produktu zalecana do spożycia w ciągu dnia:  </w:t>
      </w:r>
    </w:p>
    <w:p w14:paraId="1EA9E8DA" w14:textId="17926BBB" w:rsidR="00272015" w:rsidRDefault="001E36EA">
      <w:pPr>
        <w:numPr>
          <w:ilvl w:val="0"/>
          <w:numId w:val="1"/>
        </w:numPr>
        <w:spacing w:before="20" w:after="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Dorośli i dzieci powyżej 1</w:t>
      </w:r>
      <w:r w:rsidR="00664A18">
        <w:rPr>
          <w:rFonts w:ascii="Times New Roman" w:eastAsia="Times New Roman" w:hAnsi="Times New Roman" w:cs="Times New Roman"/>
          <w:sz w:val="24"/>
          <w:szCs w:val="24"/>
          <w:lang w:val="pl-PL"/>
        </w:rPr>
        <w:t>2</w:t>
      </w:r>
      <w:r>
        <w:rPr>
          <w:rFonts w:ascii="Times New Roman" w:eastAsia="Times New Roman" w:hAnsi="Times New Roman" w:cs="Times New Roman"/>
          <w:sz w:val="24"/>
          <w:szCs w:val="24"/>
        </w:rPr>
        <w:t xml:space="preserve"> lat: 1 saszetka 3 razy dziennie.</w:t>
      </w:r>
    </w:p>
    <w:p w14:paraId="7756B3DB" w14:textId="77777777" w:rsidR="00272015" w:rsidRDefault="00272015">
      <w:pPr>
        <w:spacing w:before="20" w:after="20" w:line="240" w:lineRule="auto"/>
        <w:ind w:left="720"/>
        <w:jc w:val="both"/>
        <w:rPr>
          <w:rFonts w:ascii="Times New Roman" w:eastAsia="Times New Roman" w:hAnsi="Times New Roman" w:cs="Times New Roman"/>
          <w:sz w:val="24"/>
          <w:szCs w:val="24"/>
        </w:rPr>
      </w:pPr>
    </w:p>
    <w:p w14:paraId="543ECF65" w14:textId="77777777" w:rsidR="00272015" w:rsidRDefault="001E36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Nie przekraczać zalecanej porcji do spożycia w ciągu dnia.</w:t>
      </w:r>
    </w:p>
    <w:p w14:paraId="08A732D5" w14:textId="77777777" w:rsidR="00272015" w:rsidRDefault="001E36EA">
      <w:pPr>
        <w:widowControl w:val="0"/>
        <w:spacing w:before="20" w:after="20" w:line="240" w:lineRule="auto"/>
        <w:jc w:val="both"/>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Suplement diety nie może być stosowany jako substytut zróżnicowanej diety.</w:t>
      </w:r>
    </w:p>
    <w:p w14:paraId="1155C064" w14:textId="77777777" w:rsidR="00272015" w:rsidRDefault="00272015">
      <w:pPr>
        <w:widowControl w:val="0"/>
        <w:spacing w:before="20" w:after="20" w:line="240" w:lineRule="auto"/>
        <w:jc w:val="both"/>
        <w:rPr>
          <w:rFonts w:ascii="Times New Roman" w:eastAsia="Times New Roman" w:hAnsi="Times New Roman" w:cs="Times New Roman"/>
          <w:color w:val="111111"/>
          <w:sz w:val="24"/>
          <w:szCs w:val="24"/>
        </w:rPr>
      </w:pPr>
    </w:p>
    <w:p w14:paraId="21C279D9" w14:textId="77777777" w:rsidR="00272015" w:rsidRDefault="001E36EA">
      <w:pPr>
        <w:spacing w:before="20" w:after="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Skład zalecanej dziennej porcji:</w:t>
      </w:r>
    </w:p>
    <w:tbl>
      <w:tblPr>
        <w:tblStyle w:val="a"/>
        <w:tblW w:w="9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85"/>
        <w:gridCol w:w="3472"/>
        <w:gridCol w:w="3472"/>
      </w:tblGrid>
      <w:tr w:rsidR="00272015" w14:paraId="13FE3353" w14:textId="77777777">
        <w:tc>
          <w:tcPr>
            <w:tcW w:w="2085" w:type="dxa"/>
          </w:tcPr>
          <w:p w14:paraId="3CC9322E" w14:textId="77777777" w:rsidR="00272015" w:rsidRDefault="001E36EA">
            <w:pPr>
              <w:spacing w:before="20" w:after="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Składnik</w:t>
            </w:r>
          </w:p>
        </w:tc>
        <w:tc>
          <w:tcPr>
            <w:tcW w:w="3472" w:type="dxa"/>
          </w:tcPr>
          <w:p w14:paraId="0D96D8F8" w14:textId="77777777" w:rsidR="00272015" w:rsidRDefault="001E36EA">
            <w:pPr>
              <w:spacing w:before="20" w:after="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saszetki  (40 g)</w:t>
            </w:r>
          </w:p>
        </w:tc>
        <w:tc>
          <w:tcPr>
            <w:tcW w:w="3472" w:type="dxa"/>
          </w:tcPr>
          <w:p w14:paraId="6F0E55CB" w14:textId="77777777" w:rsidR="00272015" w:rsidRDefault="001E36EA">
            <w:pPr>
              <w:spacing w:before="20" w:after="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saszetki  (60 g )</w:t>
            </w:r>
          </w:p>
        </w:tc>
      </w:tr>
      <w:tr w:rsidR="00272015" w14:paraId="4C337E17" w14:textId="77777777">
        <w:tc>
          <w:tcPr>
            <w:tcW w:w="2085" w:type="dxa"/>
          </w:tcPr>
          <w:p w14:paraId="1A03C442" w14:textId="77777777" w:rsidR="00272015" w:rsidRDefault="001E36EA">
            <w:pPr>
              <w:spacing w:before="20" w:after="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Krzem*</w:t>
            </w:r>
          </w:p>
        </w:tc>
        <w:tc>
          <w:tcPr>
            <w:tcW w:w="3472" w:type="dxa"/>
          </w:tcPr>
          <w:p w14:paraId="1D8CC7EF" w14:textId="77777777" w:rsidR="00272015" w:rsidRDefault="001E36EA">
            <w:pPr>
              <w:spacing w:before="20" w:after="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g</w:t>
            </w:r>
          </w:p>
        </w:tc>
        <w:tc>
          <w:tcPr>
            <w:tcW w:w="3472" w:type="dxa"/>
          </w:tcPr>
          <w:p w14:paraId="3CDED8E4" w14:textId="77777777" w:rsidR="00272015" w:rsidRDefault="001E36EA">
            <w:pPr>
              <w:spacing w:before="20" w:after="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 g</w:t>
            </w:r>
          </w:p>
        </w:tc>
      </w:tr>
    </w:tbl>
    <w:p w14:paraId="6E791B55" w14:textId="77777777" w:rsidR="00272015" w:rsidRDefault="001E36EA">
      <w:pPr>
        <w:spacing w:before="20" w:after="2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*W przeliczeniu na ilość dwutlenku krzemu w 1 saszetce:  1 saszetka - 1,6 g, 2 saszetki - 3,2g,  3 saszetki - 4,8 g.</w:t>
      </w:r>
    </w:p>
    <w:p w14:paraId="371A8A0F" w14:textId="77777777" w:rsidR="00272015" w:rsidRDefault="00272015">
      <w:pPr>
        <w:widowControl w:val="0"/>
        <w:spacing w:before="20" w:after="20" w:line="240" w:lineRule="auto"/>
        <w:jc w:val="both"/>
        <w:rPr>
          <w:rFonts w:ascii="Times New Roman" w:eastAsia="Times New Roman" w:hAnsi="Times New Roman" w:cs="Times New Roman"/>
          <w:color w:val="222222"/>
          <w:sz w:val="24"/>
          <w:szCs w:val="24"/>
          <w:highlight w:val="red"/>
        </w:rPr>
      </w:pPr>
    </w:p>
    <w:p w14:paraId="102F36CC" w14:textId="77777777" w:rsidR="00272015" w:rsidRDefault="001E36EA">
      <w:pPr>
        <w:spacing w:before="20" w:after="2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Ostrzeżenia: </w:t>
      </w:r>
      <w:r>
        <w:rPr>
          <w:rFonts w:ascii="Times New Roman" w:eastAsia="Times New Roman" w:hAnsi="Times New Roman" w:cs="Times New Roman"/>
          <w:sz w:val="24"/>
          <w:szCs w:val="24"/>
        </w:rPr>
        <w:t>Nie stosować w przypadku alergii na którykolwiek ze składników,</w:t>
      </w:r>
      <w:r>
        <w:rPr>
          <w:rFonts w:ascii="Times New Roman" w:eastAsia="Times New Roman" w:hAnsi="Times New Roman" w:cs="Times New Roman"/>
          <w:b/>
          <w:color w:val="7030A0"/>
          <w:sz w:val="24"/>
          <w:szCs w:val="24"/>
        </w:rPr>
        <w:t xml:space="preserve"> </w:t>
      </w:r>
      <w:r>
        <w:rPr>
          <w:rFonts w:ascii="Times New Roman" w:eastAsia="Times New Roman" w:hAnsi="Times New Roman" w:cs="Times New Roman"/>
          <w:sz w:val="24"/>
          <w:szCs w:val="24"/>
        </w:rPr>
        <w:t>u osób z czynną chorobą wrzodową dwunastnicy oraz innymi chorobami układu pokarmowego.</w:t>
      </w:r>
    </w:p>
    <w:p w14:paraId="7E55DF50" w14:textId="77777777" w:rsidR="00272015" w:rsidRDefault="001E36EA">
      <w:pPr>
        <w:spacing w:before="20" w:after="2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sz w:val="24"/>
          <w:szCs w:val="24"/>
        </w:rPr>
        <w:t xml:space="preserve">Masa  netto: </w:t>
      </w:r>
      <w:r>
        <w:rPr>
          <w:rFonts w:ascii="Times New Roman" w:eastAsia="Times New Roman" w:hAnsi="Times New Roman" w:cs="Times New Roman"/>
          <w:sz w:val="24"/>
          <w:szCs w:val="24"/>
        </w:rPr>
        <w:t>200 g  (10 saszetek po 20 g)</w:t>
      </w:r>
    </w:p>
    <w:p w14:paraId="3F64EA89" w14:textId="77777777" w:rsidR="00272015" w:rsidRDefault="001E36EA">
      <w:pPr>
        <w:widowControl w:val="0"/>
        <w:spacing w:before="20" w:after="2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rPr>
        <w:t>Najlepiej spożyć przed:</w:t>
      </w:r>
      <w:r>
        <w:rPr>
          <w:rFonts w:ascii="Times New Roman" w:eastAsia="Times New Roman" w:hAnsi="Times New Roman" w:cs="Times New Roman"/>
          <w:color w:val="222222"/>
          <w:sz w:val="24"/>
          <w:szCs w:val="24"/>
        </w:rPr>
        <w:t xml:space="preserve"> zobacz na pudełku lub saszetce. </w:t>
      </w:r>
    </w:p>
    <w:p w14:paraId="1D8667F5" w14:textId="77777777" w:rsidR="00272015" w:rsidRDefault="001E36EA">
      <w:pPr>
        <w:spacing w:before="20" w:after="20" w:line="24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 xml:space="preserve">Numer partii: </w:t>
      </w:r>
      <w:r>
        <w:rPr>
          <w:rFonts w:ascii="Times New Roman" w:eastAsia="Times New Roman" w:hAnsi="Times New Roman" w:cs="Times New Roman"/>
          <w:color w:val="222222"/>
          <w:sz w:val="24"/>
          <w:szCs w:val="24"/>
        </w:rPr>
        <w:t xml:space="preserve">zobacz na pudełku lub saszetce. </w:t>
      </w:r>
    </w:p>
    <w:p w14:paraId="484EE1D8" w14:textId="77777777" w:rsidR="00272015" w:rsidRDefault="001E36EA">
      <w:pPr>
        <w:pStyle w:val="Nagwek3"/>
        <w:keepNext w:val="0"/>
        <w:keepLines w:val="0"/>
        <w:widowControl w:val="0"/>
        <w:spacing w:before="20" w:after="20" w:line="240" w:lineRule="auto"/>
        <w:jc w:val="both"/>
        <w:rPr>
          <w:rFonts w:ascii="Times New Roman" w:eastAsia="Times New Roman" w:hAnsi="Times New Roman" w:cs="Times New Roman"/>
          <w:color w:val="222222"/>
          <w:sz w:val="24"/>
          <w:szCs w:val="24"/>
        </w:rPr>
      </w:pPr>
      <w:bookmarkStart w:id="0" w:name="_9zylrqkih0xa" w:colFirst="0" w:colLast="0"/>
      <w:bookmarkEnd w:id="0"/>
      <w:r>
        <w:rPr>
          <w:rFonts w:ascii="Times New Roman" w:eastAsia="Times New Roman" w:hAnsi="Times New Roman" w:cs="Times New Roman"/>
          <w:b/>
          <w:color w:val="222222"/>
          <w:sz w:val="24"/>
          <w:szCs w:val="24"/>
        </w:rPr>
        <w:t xml:space="preserve">Warunki przechowywania: </w:t>
      </w:r>
      <w:r>
        <w:rPr>
          <w:rFonts w:ascii="Times New Roman" w:eastAsia="Times New Roman" w:hAnsi="Times New Roman" w:cs="Times New Roman"/>
          <w:color w:val="222222"/>
          <w:sz w:val="24"/>
          <w:szCs w:val="24"/>
        </w:rPr>
        <w:t>Przechowywać w oryginalnym opakowaniu w temperaturze nie wyższej niż 25°C i wilgotności względnej nie przekraczającej 75%, w miejscu suchym, nienasłonecznionym i niedostępnym dla dzieci.</w:t>
      </w:r>
    </w:p>
    <w:p w14:paraId="153AEC05" w14:textId="77777777" w:rsidR="00272015" w:rsidRDefault="001E36EA">
      <w:pPr>
        <w:widowControl w:val="0"/>
        <w:spacing w:before="20" w:after="2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Podmiot odpowiedzialny: </w:t>
      </w:r>
      <w:r>
        <w:rPr>
          <w:rFonts w:ascii="Times New Roman" w:eastAsia="Times New Roman" w:hAnsi="Times New Roman" w:cs="Times New Roman"/>
          <w:sz w:val="24"/>
          <w:szCs w:val="24"/>
        </w:rPr>
        <w:t xml:space="preserve">Orisil-Pharm Poland Sp. z o.o., ul. Hugo Kołłątaja 6/3; 20-006 Lublin; Polska. </w:t>
      </w:r>
    </w:p>
    <w:p w14:paraId="107D3969" w14:textId="77777777" w:rsidR="00272015" w:rsidRDefault="001E36EA">
      <w:pPr>
        <w:widowControl w:val="0"/>
        <w:spacing w:before="20" w:after="2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Producent:</w:t>
      </w:r>
      <w:r>
        <w:rPr>
          <w:rFonts w:ascii="Times New Roman" w:eastAsia="Times New Roman" w:hAnsi="Times New Roman" w:cs="Times New Roman"/>
          <w:sz w:val="24"/>
          <w:szCs w:val="24"/>
        </w:rPr>
        <w:t xml:space="preserve"> Orisil-Pharm Sp. z o.o. ul. Łesi Ukrainki 43/11A, 79008 Lwów, Ukraina., tel.: +380322970406, e-mail: orisilpharm.feedback@gmail.com. </w:t>
      </w:r>
    </w:p>
    <w:p w14:paraId="2F103076" w14:textId="77777777" w:rsidR="00272015" w:rsidRDefault="001E36EA">
      <w:pPr>
        <w:widowControl w:val="0"/>
        <w:spacing w:before="20" w:after="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Zakład produkcyjny: </w:t>
      </w:r>
      <w:r>
        <w:rPr>
          <w:rFonts w:ascii="Times New Roman" w:eastAsia="Times New Roman" w:hAnsi="Times New Roman" w:cs="Times New Roman"/>
          <w:sz w:val="24"/>
          <w:szCs w:val="24"/>
        </w:rPr>
        <w:t>ul. Zawodska, 1B, 77300 Kalusz, Ukraina.</w:t>
      </w:r>
    </w:p>
    <w:p w14:paraId="1B1FE501" w14:textId="77777777" w:rsidR="00272015" w:rsidRDefault="001E36EA">
      <w:pPr>
        <w:widowControl w:val="0"/>
        <w:spacing w:before="20" w:after="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shd w:val="clear" w:color="auto" w:fill="FBFBFB"/>
        </w:rPr>
        <w:t>ТУ У 10.8-32640291-006:2019</w:t>
      </w:r>
    </w:p>
    <w:sectPr w:rsidR="00272015">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545BA0"/>
    <w:multiLevelType w:val="multilevel"/>
    <w:tmpl w:val="C3C624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23315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015"/>
    <w:rsid w:val="0018216E"/>
    <w:rsid w:val="001E36EA"/>
    <w:rsid w:val="00272015"/>
    <w:rsid w:val="00397DD0"/>
    <w:rsid w:val="005219EC"/>
    <w:rsid w:val="00664A18"/>
    <w:rsid w:val="007476DB"/>
    <w:rsid w:val="009714C4"/>
    <w:rsid w:val="00B46FAA"/>
    <w:rsid w:val="00D7198D"/>
    <w:rsid w:val="00DD51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1EB6C"/>
  <w15:docId w15:val="{B03D4D57-80E8-44BA-9668-2172510F7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uk"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unhideWhenUsed/>
    <w:qFormat/>
    <w:pPr>
      <w:keepNext/>
      <w:keepLines/>
      <w:spacing w:before="360" w:after="120"/>
      <w:outlineLvl w:val="1"/>
    </w:pPr>
    <w:rPr>
      <w:sz w:val="32"/>
      <w:szCs w:val="32"/>
    </w:rPr>
  </w:style>
  <w:style w:type="paragraph" w:styleId="Nagwek3">
    <w:name w:val="heading 3"/>
    <w:basedOn w:val="Normalny"/>
    <w:next w:val="Normalny"/>
    <w:uiPriority w:val="9"/>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290</Words>
  <Characters>1743</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 Synak</dc:creator>
  <cp:lastModifiedBy>Beata Synak</cp:lastModifiedBy>
  <cp:revision>2</cp:revision>
  <dcterms:created xsi:type="dcterms:W3CDTF">2026-08-05T16:07:00Z</dcterms:created>
  <dcterms:modified xsi:type="dcterms:W3CDTF">2026-08-05T16:07:00Z</dcterms:modified>
</cp:coreProperties>
</file>